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40" w:firstLineChars="100"/>
        <w:contextualSpacing w:val="1"/>
        <w:rPr>
          <w:rFonts w:hint="default" w:asciiTheme="minorEastAsia" w:hAnsiTheme="minorEastAsia"/>
          <w:color w:val="000000" w:themeColor="text1"/>
          <w:kern w:val="24"/>
        </w:rPr>
      </w:pPr>
    </w:p>
    <w:p>
      <w:pPr>
        <w:pStyle w:val="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藤岡市長</w:t>
      </w:r>
      <w:r>
        <w:rPr>
          <w:rFonts w:hint="eastAsia" w:asciiTheme="minorEastAsia" w:hAnsiTheme="minorEastAsia"/>
          <w:color w:val="000000" w:themeColor="text1"/>
          <w:kern w:val="24"/>
        </w:rPr>
        <w:t xml:space="preserve"> </w:t>
      </w:r>
      <w:r>
        <w:rPr>
          <w:rFonts w:hint="eastAsia" w:asciiTheme="minorEastAsia" w:hAnsiTheme="minorEastAsia"/>
          <w:color w:val="000000" w:themeColor="text1"/>
          <w:kern w:val="24"/>
        </w:rPr>
        <w:t>新井</w:t>
      </w:r>
      <w:r>
        <w:rPr>
          <w:rFonts w:hint="eastAsia" w:asciiTheme="minorEastAsia" w:hAnsiTheme="minorEastAsia"/>
          <w:color w:val="000000" w:themeColor="text1"/>
          <w:kern w:val="24"/>
        </w:rPr>
        <w:t xml:space="preserve"> </w:t>
      </w:r>
      <w:r>
        <w:rPr>
          <w:rFonts w:hint="eastAsia" w:asciiTheme="minorEastAsia" w:hAnsiTheme="minorEastAsia"/>
          <w:color w:val="000000" w:themeColor="text1"/>
          <w:kern w:val="24"/>
        </w:rPr>
        <w:t>雅博　殿</w:t>
      </w:r>
    </w:p>
    <w:p>
      <w:pPr>
        <w:pStyle w:val="0"/>
        <w:wordWrap w:val="0"/>
        <w:ind w:left="288"/>
        <w:contextualSpacing w:val="1"/>
        <w:jc w:val="right"/>
        <w:rPr>
          <w:rFonts w:hint="default" w:asciiTheme="minorEastAsia" w:hAnsiTheme="minorEastAsia"/>
          <w:color w:val="000000" w:themeColor="text1"/>
          <w:kern w:val="24"/>
        </w:rPr>
      </w:pPr>
      <w:r>
        <w:rPr>
          <w:rFonts w:hint="eastAsia" w:asciiTheme="minorEastAsia" w:hAnsiTheme="minorEastAsia"/>
          <w:color w:val="000000" w:themeColor="text1"/>
          <w:kern w:val="24"/>
        </w:rPr>
        <w:t>事業者名　　　　　　　　　　　　　</w:t>
      </w:r>
    </w:p>
    <w:p>
      <w:pPr>
        <w:pStyle w:val="0"/>
        <w:ind w:left="288"/>
        <w:contextualSpacing w:val="1"/>
        <w:jc w:val="right"/>
        <w:rPr>
          <w:rFonts w:hint="default" w:asciiTheme="minorEastAsia" w:hAnsiTheme="minorEastAsia"/>
          <w:color w:val="000000" w:themeColor="text1"/>
          <w:kern w:val="24"/>
        </w:rPr>
      </w:pPr>
    </w:p>
    <w:p>
      <w:pPr>
        <w:pStyle w:val="0"/>
        <w:ind w:left="0" w:leftChars="0"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〕については、藤岡市の区域内における工程により、当該返礼品等の価値の〔　　〕％が生じていることを証明します。</w:t>
      </w:r>
    </w:p>
    <w:p>
      <w:pPr>
        <w:pStyle w:val="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上記については、以下の算出方法（該当する算出方法に☑）により算出しています。</w:t>
      </w:r>
    </w:p>
    <w:p>
      <w:pPr>
        <w:pStyle w:val="0"/>
        <w:spacing w:before="240" w:beforeLines="0" w:beforeAutospacing="0"/>
        <w:ind w:left="418" w:firstLine="158"/>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highlight w:val="none"/>
        </w:rPr>
        <w:t>□</w:t>
      </w:r>
      <w:r>
        <w:rPr>
          <w:rFonts w:hint="eastAsia" w:asciiTheme="minorEastAsia" w:hAnsiTheme="minorEastAsia"/>
          <w:color w:val="000000" w:themeColor="text1"/>
          <w:kern w:val="24"/>
        </w:rPr>
        <w:t>　総務大臣が定める標準的な算出方法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※標準的な算出方法における算出基礎は以下のとおり。</w:t>
      </w:r>
    </w:p>
    <w:p>
      <w:pPr>
        <w:pStyle w:val="0"/>
        <w:ind w:left="1200" w:leftChars="5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Ａ：当該地方団体による返礼品等の調達費用　　　　　　</w:t>
      </w:r>
      <w:r>
        <w:rPr>
          <w:rFonts w:hint="eastAsia" w:asciiTheme="minorEastAsia" w:hAnsiTheme="minorEastAsia"/>
          <w:color w:val="000000" w:themeColor="text1"/>
          <w:kern w:val="24"/>
          <w:u w:val="single" w:color="auto"/>
        </w:rPr>
        <w:t>　　　　　　</w:t>
      </w:r>
      <w:r>
        <w:rPr>
          <w:rFonts w:hint="eastAsia" w:asciiTheme="minorEastAsia" w:hAnsiTheme="minorEastAsia"/>
          <w:color w:val="000000" w:themeColor="text1"/>
          <w:kern w:val="24"/>
          <w:highlight w:val="none"/>
          <w:u w:val="single" w:color="auto"/>
        </w:rPr>
        <w:t>円</w:t>
      </w:r>
    </w:p>
    <w:p>
      <w:pPr>
        <w:pStyle w:val="0"/>
        <w:ind w:left="1680" w:leftChars="5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Ｂ：当該返礼品等の製造・販売等のために当該地方団体の区域外で生じた費用　　　　　　　　　　　　　　　　　　　　　　</w:t>
      </w:r>
      <w:r>
        <w:rPr>
          <w:rFonts w:hint="eastAsia" w:asciiTheme="minorEastAsia" w:hAnsiTheme="minorEastAsia"/>
          <w:color w:val="000000" w:themeColor="text1"/>
          <w:kern w:val="24"/>
          <w:u w:val="single" w:color="auto"/>
        </w:rPr>
        <w:t>　　　　　　</w:t>
      </w:r>
      <w:r>
        <w:rPr>
          <w:rFonts w:hint="eastAsia" w:asciiTheme="minorEastAsia" w:hAnsiTheme="minorEastAsia"/>
          <w:color w:val="000000" w:themeColor="text1"/>
          <w:kern w:val="24"/>
          <w:highlight w:val="none"/>
          <w:u w:val="single" w:color="auto"/>
        </w:rPr>
        <w:t>円</w:t>
      </w:r>
    </w:p>
    <w:p>
      <w:pPr>
        <w:pStyle w:val="0"/>
        <w:ind w:firstLine="576"/>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その他の算出方法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※その他の算出方法とする理由及びその算出方法の詳細は以下のとおり。</w:t>
      </w:r>
    </w:p>
    <w:tbl>
      <w:tblPr>
        <w:tblStyle w:val="38"/>
        <w:tblW w:w="7978" w:type="dxa"/>
        <w:tblInd w:w="1200" w:type="dxa"/>
        <w:tblLayout w:type="fixed"/>
        <w:tblLook w:firstRow="1" w:lastRow="0" w:firstColumn="1" w:lastColumn="0" w:noHBand="0" w:noVBand="1" w:val="04A0"/>
      </w:tblPr>
      <w:tblGrid>
        <w:gridCol w:w="7978"/>
      </w:tblGrid>
      <w:tr>
        <w:trPr/>
        <w:tc>
          <w:tcPr>
            <w:tcW w:w="9178" w:type="dxa"/>
            <w:vAlign w:val="top"/>
          </w:tcPr>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tc>
      </w:tr>
    </w:tbl>
    <w:p>
      <w:pPr>
        <w:pStyle w:val="0"/>
        <w:contextualSpacing w:val="1"/>
        <w:rPr>
          <w:rFonts w:hint="default" w:asciiTheme="minorEastAsia" w:hAnsiTheme="minorEastAsia"/>
          <w:color w:val="000000" w:themeColor="text1"/>
          <w:kern w:val="24"/>
        </w:rPr>
      </w:pPr>
    </w:p>
    <w:p>
      <w:pPr>
        <w:pStyle w:val="0"/>
        <w:spacing w:before="240" w:beforeLines="0" w:beforeAutospacing="0"/>
        <w:ind w:left="1680" w:leftChars="100" w:hanging="1440" w:hangingChars="6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また、当該返礼品等の製造・加工地</w:t>
      </w:r>
      <w:r>
        <w:rPr>
          <w:rFonts w:hint="eastAsia" w:asciiTheme="minorEastAsia" w:hAnsiTheme="minorEastAsia"/>
          <w:color w:val="000000" w:themeColor="text1"/>
          <w:kern w:val="24"/>
          <w:position w:val="10"/>
          <w:vertAlign w:val="superscript"/>
        </w:rPr>
        <w:t>※１</w:t>
      </w:r>
      <w:r>
        <w:rPr>
          <w:rFonts w:hint="eastAsia" w:asciiTheme="minorEastAsia" w:hAnsiTheme="minorEastAsia"/>
          <w:color w:val="000000" w:themeColor="text1"/>
          <w:kern w:val="24"/>
        </w:rPr>
        <w:t>は群馬県藤岡市であり、</w:t>
      </w:r>
      <w:r>
        <w:rPr>
          <w:rFonts w:hint="eastAsia" w:asciiTheme="minorEastAsia" w:hAnsiTheme="minorEastAsia"/>
          <w:color w:val="000000" w:themeColor="text1"/>
          <w:kern w:val="24"/>
          <w:highlight w:val="none"/>
        </w:rPr>
        <w:t>一般販売価格は　　　　</w:t>
      </w:r>
      <w:bookmarkStart w:id="0" w:name="_GoBack"/>
      <w:bookmarkEnd w:id="0"/>
      <w:r>
        <w:rPr>
          <w:rFonts w:hint="eastAsia" w:asciiTheme="minorEastAsia" w:hAnsiTheme="minorEastAsia"/>
          <w:color w:val="000000" w:themeColor="text1"/>
          <w:kern w:val="24"/>
          <w:highlight w:val="none"/>
        </w:rPr>
        <w:t>円</w:t>
      </w:r>
      <w:r>
        <w:rPr>
          <w:rFonts w:hint="eastAsia" w:asciiTheme="minorEastAsia" w:hAnsiTheme="minorEastAsia"/>
          <w:color w:val="000000" w:themeColor="text1"/>
          <w:kern w:val="24"/>
        </w:rPr>
        <w:t>です</w:t>
      </w:r>
      <w:r>
        <w:rPr>
          <w:rFonts w:hint="eastAsia" w:asciiTheme="minorEastAsia" w:hAnsiTheme="minorEastAsia"/>
          <w:color w:val="000000" w:themeColor="text1"/>
          <w:kern w:val="24"/>
          <w:position w:val="10"/>
          <w:vertAlign w:val="superscript"/>
        </w:rPr>
        <w:t>※２</w:t>
      </w:r>
      <w:r>
        <w:rPr>
          <w:rFonts w:hint="eastAsia" w:asciiTheme="minorEastAsia" w:hAnsiTheme="minorEastAsia"/>
          <w:color w:val="000000" w:themeColor="text1"/>
          <w:kern w:val="24"/>
        </w:rPr>
        <w:t>。</w:t>
      </w: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なお、当該返礼品等を取り扱うに当たって、下記の事項に同意します。</w:t>
      </w:r>
    </w:p>
    <w:p>
      <w:pPr>
        <w:pStyle w:val="0"/>
        <w:spacing w:before="240" w:beforeLines="0" w:beforeAutospacing="0"/>
        <w:ind w:left="480" w:leftChars="100" w:hanging="240" w:hangingChars="10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当該返礼品等については、以下に掲げる場合を除き、他の地方団体の地場産品基準（平成</w:t>
      </w:r>
      <w:r>
        <w:rPr>
          <w:rFonts w:hint="eastAsia" w:asciiTheme="minorEastAsia" w:hAnsiTheme="minorEastAsia"/>
          <w:color w:val="000000" w:themeColor="text1"/>
          <w:kern w:val="24"/>
        </w:rPr>
        <w:t>31</w:t>
      </w:r>
      <w:r>
        <w:rPr>
          <w:rFonts w:hint="eastAsia" w:asciiTheme="minorEastAsia" w:hAnsiTheme="minorEastAsia"/>
          <w:color w:val="000000" w:themeColor="text1"/>
          <w:kern w:val="24"/>
        </w:rPr>
        <w:t>年総務省告示第</w:t>
      </w:r>
      <w:r>
        <w:rPr>
          <w:rFonts w:hint="eastAsia" w:asciiTheme="minorEastAsia" w:hAnsiTheme="minorEastAsia"/>
          <w:color w:val="000000" w:themeColor="text1"/>
          <w:kern w:val="24"/>
        </w:rPr>
        <w:t>179</w:t>
      </w:r>
      <w:r>
        <w:rPr>
          <w:rFonts w:hint="eastAsia" w:asciiTheme="minorEastAsia" w:hAnsiTheme="minorEastAsia"/>
          <w:color w:val="000000" w:themeColor="text1"/>
          <w:kern w:val="24"/>
        </w:rPr>
        <w:t>号第６条をいう。以下同じ。）第３号の返礼品等として取り扱わないこと。</w:t>
      </w:r>
    </w:p>
    <w:p>
      <w:pPr>
        <w:pStyle w:val="16"/>
        <w:numPr>
          <w:ilvl w:val="0"/>
          <w:numId w:val="1"/>
        </w:numPr>
        <w:spacing w:before="240" w:beforeLines="0" w:beforeAutospacing="0"/>
        <w:ind w:leftChars="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貴市区町村の属する都道府県（貴団体が都道府県である場合には貴都道府県内の市区町村）が地場産品基準第３号に適合するものとして当該返礼品等を取り扱う場合</w:t>
      </w:r>
    </w:p>
    <w:p>
      <w:pPr>
        <w:pStyle w:val="16"/>
        <w:numPr>
          <w:ilvl w:val="0"/>
          <w:numId w:val="1"/>
        </w:numPr>
        <w:ind w:leftChars="0"/>
        <w:rPr>
          <w:rFonts w:hint="default"/>
        </w:rPr>
      </w:pPr>
      <w:r>
        <w:rPr>
          <w:rFonts w:hint="eastAsia"/>
        </w:rPr>
        <w:t>　地場産品基準第８号イ又はロの返礼品等（同基準第３号に適合する場合に限る。）として他の地方団体が取り扱う場合</w:t>
      </w:r>
    </w:p>
    <w:p>
      <w:pPr>
        <w:pStyle w:val="0"/>
        <w:spacing w:before="240" w:beforeLines="0" w:beforeAutospacing="0"/>
        <w:ind w:left="480" w:leftChars="100" w:hanging="240" w:hanging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当該返礼品等の付加価値の算出方法等について、地方団体の求めに応じ、必要な説明や資料提供等を行うこと。</w:t>
      </w:r>
    </w:p>
    <w:p>
      <w:pPr>
        <w:pStyle w:val="0"/>
        <w:spacing w:before="240" w:beforeLines="0" w:beforeAutospacing="0"/>
        <w:ind w:left="418" w:firstLine="158"/>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135255</wp:posOffset>
                </wp:positionV>
                <wp:extent cx="6028055" cy="1381125"/>
                <wp:effectExtent l="635" t="635" r="29845" b="10795"/>
                <wp:wrapNone/>
                <wp:docPr id="1026" name="大かっこ 1"/>
                <a:graphic xmlns:a="http://schemas.openxmlformats.org/drawingml/2006/main">
                  <a:graphicData uri="http://schemas.microsoft.com/office/word/2010/wordprocessingShape">
                    <wps:wsp>
                      <wps:cNvPr id="1026" name="大かっこ 1"/>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2;mso-wrap-distance-left:9pt;width:474.65pt;height:108.75pt;mso-position-horizontal-relative:text;position:absolute;margin-left:3.2pt;margin-top:10.65pt;mso-wrap-distance-bottom:0pt;mso-wrap-distance-right:9pt;mso-wrap-distance-top:0pt;" o:spid="_x0000_s1026" o:allowincell="t" o:allowoverlap="t" filled="f" stroked="t" strokecolor="#000000 [3213]" strokeweight="0.5pt" o:spt="185" type="#_x0000_t185" adj="1676">
                <v:fill/>
                <v:stroke linestyle="single" miterlimit="8" endcap="flat" dashstyle="solid" filltype="solid"/>
                <v:textbox style="layout-flow:horizontal;"/>
                <v:imagedata o:title=""/>
                <w10:wrap type="none" anchorx="text" anchory="text"/>
              </v:shape>
            </w:pict>
          </mc:Fallback>
        </mc:AlternateContent>
      </w:r>
    </w:p>
    <w:p>
      <w:pPr>
        <w:pStyle w:val="0"/>
        <w:spacing w:before="120" w:beforeLines="0" w:beforeAutospacing="0"/>
        <w:ind w:left="240" w:leftChars="100"/>
        <w:contextualSpacing w:val="1"/>
        <w:rPr>
          <w:rFonts w:hint="default" w:asciiTheme="minorEastAsia" w:hAnsiTheme="minorEastAsia"/>
          <w:color w:val="000000" w:themeColor="text1"/>
          <w:kern w:val="24"/>
          <w:u w:val="single" w:color="auto"/>
        </w:rPr>
      </w:pPr>
      <w:r>
        <w:rPr>
          <w:rFonts w:hint="eastAsia" w:asciiTheme="minorEastAsia" w:hAnsiTheme="minorEastAsia"/>
          <w:color w:val="000000" w:themeColor="text1"/>
          <w:kern w:val="24"/>
          <w:u w:val="single" w:color="auto"/>
        </w:rPr>
        <w:t>記載要領</w:t>
      </w:r>
    </w:p>
    <w:p>
      <w:pPr>
        <w:pStyle w:val="0"/>
        <w:spacing w:before="120" w:beforeLines="0" w:beforeAutospacing="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※１　返礼品等の製造・加工が行われた場所について、国内の場合は都道府県名及び市区町村名（例：○○県○○市）、国外の場合は国名を記載すること。</w:t>
      </w:r>
    </w:p>
    <w:p>
      <w:pPr>
        <w:pStyle w:val="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※２　当該返礼品等を一般消費者に対して販売する際の通常の価格を記載すること。なお、当該返礼品等が非売品である場合には、当該返礼品等の類似製品に係る通常の価格を記載すること。</w:t>
      </w:r>
    </w:p>
    <w:sectPr>
      <w:pgSz w:w="11910" w:h="16840"/>
      <w:pgMar w:top="1247" w:right="1361" w:bottom="709" w:left="1361"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9A473B4"/>
    <w:lvl w:ilvl="0" w:tplc="C8E45730">
      <w:start w:val="1"/>
      <w:numFmt w:val="decimalEnclosedCircle"/>
      <w:lvlText w:val="%1"/>
      <w:lvlJc w:val="left"/>
      <w:pPr>
        <w:ind w:left="840" w:hanging="360"/>
      </w:pPr>
      <w:rPr>
        <w:rFonts w:hint="default"/>
      </w:rPr>
    </w:lvl>
    <w:lvl w:ilvl="1" w:tplc="04090017">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start w:val="1"/>
      <w:numFmt w:val="decimal"/>
      <w:lvlText w:val="%4."/>
      <w:lvlJc w:val="left"/>
      <w:pPr>
        <w:ind w:left="2240" w:hanging="440"/>
      </w:pPr>
    </w:lvl>
    <w:lvl w:ilvl="4" w:tplc="04090017">
      <w:start w:val="1"/>
      <w:numFmt w:val="aiueoFullWidth"/>
      <w:lvlText w:val="(%5)"/>
      <w:lvlJc w:val="left"/>
      <w:pPr>
        <w:ind w:left="2680" w:hanging="440"/>
      </w:pPr>
    </w:lvl>
    <w:lvl w:ilvl="5" w:tplc="04090011">
      <w:start w:val="1"/>
      <w:numFmt w:val="decimalEnclosedCircle"/>
      <w:lvlText w:val="%6"/>
      <w:lvlJc w:val="left"/>
      <w:pPr>
        <w:ind w:left="3120" w:hanging="440"/>
      </w:pPr>
    </w:lvl>
    <w:lvl w:ilvl="6" w:tplc="0409000F">
      <w:start w:val="1"/>
      <w:numFmt w:val="decimal"/>
      <w:lvlText w:val="%7."/>
      <w:lvlJc w:val="left"/>
      <w:pPr>
        <w:ind w:left="3560" w:hanging="440"/>
      </w:pPr>
    </w:lvl>
    <w:lvl w:ilvl="7" w:tplc="04090017">
      <w:start w:val="1"/>
      <w:numFmt w:val="aiueoFullWidth"/>
      <w:lvlText w:val="(%8)"/>
      <w:lvlJc w:val="left"/>
      <w:pPr>
        <w:ind w:left="4000" w:hanging="440"/>
      </w:pPr>
    </w:lvl>
    <w:lvl w:ilvl="8" w:tplc="04090011">
      <w:start w:val="1"/>
      <w:numFmt w:val="decimalEnclosedCircle"/>
      <w:lvlText w:val="%9"/>
      <w:lvlJc w:val="left"/>
      <w:pPr>
        <w:ind w:left="444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Revision"/>
    <w:next w:val="23"/>
    <w:link w:val="0"/>
    <w:uiPriority w:val="0"/>
    <w:rPr/>
  </w:style>
  <w:style w:type="paragraph" w:styleId="24">
    <w:name w:val="Date"/>
    <w:basedOn w:val="0"/>
    <w:next w:val="0"/>
    <w:link w:val="25"/>
    <w:uiPriority w:val="0"/>
  </w:style>
  <w:style w:type="character" w:styleId="25" w:customStyle="1">
    <w:name w:val="日付 (文字)"/>
    <w:basedOn w:val="10"/>
    <w:next w:val="25"/>
    <w:link w:val="24"/>
    <w:uiPriority w:val="0"/>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name w:val="Closing"/>
    <w:basedOn w:val="0"/>
    <w:next w:val="33"/>
    <w:link w:val="34"/>
    <w:uiPriority w:val="0"/>
    <w:pPr>
      <w:jc w:val="right"/>
    </w:pPr>
    <w:rPr>
      <w:rFonts w:asciiTheme="minorEastAsia" w:hAnsiTheme="minorEastAsia"/>
    </w:rPr>
  </w:style>
  <w:style w:type="character" w:styleId="34" w:customStyle="1">
    <w:name w:val="結語 (文字)"/>
    <w:basedOn w:val="10"/>
    <w:next w:val="34"/>
    <w:link w:val="33"/>
    <w:uiPriority w:val="0"/>
    <w:rPr>
      <w:rFonts w:asciiTheme="minorEastAsia" w:hAnsiTheme="minorEastAsia"/>
      <w:sz w:val="24"/>
    </w:rPr>
  </w:style>
  <w:style w:type="paragraph" w:styleId="35">
    <w:name w:val="Normal (Web)"/>
    <w:basedOn w:val="0"/>
    <w:next w:val="3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1</Pages>
  <Words>2</Words>
  <Characters>742</Characters>
  <Application>JUST Note</Application>
  <Lines>42</Lines>
  <Paragraphs>19</Paragraphs>
  <CharactersWithSpaces>833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R06F450</cp:lastModifiedBy>
  <cp:lastPrinted>2026-07-10T02:00:53Z</cp:lastPrinted>
  <dcterms:created xsi:type="dcterms:W3CDTF">2026-05-29T02:33:00Z</dcterms:created>
  <dcterms:modified xsi:type="dcterms:W3CDTF">2026-06-23T07:37:37Z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mplianceAssetId">
    <vt:lpwstr/>
  </property>
  <property fmtid="{D5CDD505-2E9C-101B-9397-08002B2CF9AE}" pid="3" name="ContentTypeId">
    <vt:lpwstr>0x01010077CB45A0F0A3264E8315180F4DD5C739</vt:lpwstr>
  </property>
  <property fmtid="{D5CDD505-2E9C-101B-9397-08002B2CF9AE}" pid="4" name="MediaServiceImageTags">
    <vt:lpwstr/>
  </property>
  <property fmtid="{D5CDD505-2E9C-101B-9397-08002B2CF9AE}" pid="5" name="Order">
    <vt:r8>72400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